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E1" w:rsidRPr="00F9111B" w:rsidRDefault="00D567FF" w:rsidP="006B6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</w:p>
    <w:p w:rsidR="00957CE1" w:rsidRPr="00F9111B" w:rsidRDefault="00D567FF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SKUPŠTINA</w:t>
      </w:r>
    </w:p>
    <w:p w:rsidR="00957CE1" w:rsidRPr="00F9111B" w:rsidRDefault="00D567FF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957CE1" w:rsidRPr="00F9111B" w:rsidRDefault="00957CE1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20 </w:t>
      </w:r>
      <w:r w:rsidR="00D567F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Broj</w:t>
      </w: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: 06-2/1</w:t>
      </w:r>
      <w:r w:rsidR="007C233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59</w:t>
      </w: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-24</w:t>
      </w:r>
    </w:p>
    <w:p w:rsidR="00957CE1" w:rsidRPr="00F9111B" w:rsidRDefault="007E747F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5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567F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mart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5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567F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957CE1" w:rsidRPr="00F9111B" w:rsidRDefault="00D567FF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</w:p>
    <w:p w:rsidR="00957CE1" w:rsidRPr="00F9111B" w:rsidRDefault="00957CE1" w:rsidP="0095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Pr="00F9111B" w:rsidRDefault="00957CE1" w:rsidP="0095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Pr="00F9111B" w:rsidRDefault="00957CE1" w:rsidP="00957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Pr="00F9111B" w:rsidRDefault="00D567FF" w:rsidP="00957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</w:t>
      </w:r>
    </w:p>
    <w:p w:rsidR="00957CE1" w:rsidRPr="00F9111B" w:rsidRDefault="00D567FF" w:rsidP="00957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DESETE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SEDNICE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957CE1" w:rsidRPr="00F9111B" w:rsidRDefault="00D567FF" w:rsidP="00957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</w:p>
    <w:p w:rsidR="00957CE1" w:rsidRPr="00F9111B" w:rsidRDefault="00D567FF" w:rsidP="00957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PETAK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B1741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</w:t>
      </w:r>
      <w:r w:rsidR="007C233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NOVEMBAR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</w:t>
      </w:r>
      <w:r w:rsidR="00D11CA2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24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957CE1" w:rsidRPr="00F9111B" w:rsidRDefault="00957CE1" w:rsidP="0095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911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</w:t>
      </w:r>
    </w:p>
    <w:p w:rsidR="00957CE1" w:rsidRPr="00F9111B" w:rsidRDefault="00957CE1" w:rsidP="0095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Default="00D11CA2" w:rsidP="00A90D2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911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CE1CA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9277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97BE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7BC1" w:rsidRPr="006F13A2" w:rsidRDefault="00077BC1" w:rsidP="00A90D22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957CE1" w:rsidRPr="00AD3FA0" w:rsidRDefault="00957CE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57CE1" w:rsidRPr="006F13A2" w:rsidRDefault="00957CE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5F6C86" w:rsidRPr="00D80BA2" w:rsidRDefault="00E97BE9" w:rsidP="00A90D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Radin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957CE1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Josifović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Stanislava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Janošević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7A46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Džajić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naknadno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pristupio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6C86" w:rsidRPr="006F13A2" w:rsidRDefault="005F6C86" w:rsidP="00A90D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77BC1" w:rsidRDefault="00D567FF" w:rsidP="00A90D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57CE1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57CE1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57CE1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57CE1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dbora</w:t>
      </w:r>
      <w:r w:rsidR="005013AE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5013AE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013AE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58FB" w:rsidRPr="006F13A2" w:rsidRDefault="004B58FB" w:rsidP="00A90D22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386C7D" w:rsidRDefault="00D567FF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97BE9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Stamatović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Savović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Petrašinović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Rajičić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Vraneš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Zagorka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01EF9" w:rsidRPr="006F13A2" w:rsidRDefault="00C01EF9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77BC1" w:rsidRDefault="00D567FF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odsutnih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="00386C7D"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Marušić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58FB" w:rsidRPr="006F13A2" w:rsidRDefault="004B58FB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77F50" w:rsidRDefault="00D567FF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ambasador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Emanuele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Žiofre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5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Andrea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Hokhuber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77F50">
        <w:rPr>
          <w:rFonts w:ascii="Times New Roman" w:hAnsi="Times New Roman" w:cs="Times New Roman"/>
          <w:sz w:val="24"/>
          <w:szCs w:val="24"/>
        </w:rPr>
        <w:t>Andrea Hochhuber)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ekonomiju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Črtomir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Fišinger</w:t>
      </w:r>
      <w:r w:rsidR="00277F50">
        <w:rPr>
          <w:rFonts w:ascii="Times New Roman" w:hAnsi="Times New Roman" w:cs="Times New Roman"/>
          <w:sz w:val="24"/>
          <w:szCs w:val="24"/>
        </w:rPr>
        <w:t xml:space="preserve"> (Crtomir Fisinger)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277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Motoskova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7F50" w:rsidRPr="006F13A2" w:rsidRDefault="00277F50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77F50" w:rsidRPr="00277F50" w:rsidRDefault="00D567FF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Gačević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277F5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1EF9" w:rsidRPr="0028349C" w:rsidRDefault="00C01EF9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AB4B0A" w:rsidRDefault="00E97BE9" w:rsidP="00E527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910E0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</w:p>
    <w:p w:rsidR="00AB4B0A" w:rsidRDefault="00AB4B0A" w:rsidP="00E527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AB4B0A" w:rsidRDefault="00AB4B0A" w:rsidP="00E527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AB4B0A" w:rsidRDefault="00AB4B0A" w:rsidP="00E527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AB4B0A" w:rsidRDefault="00AB4B0A" w:rsidP="00E527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AB4B0A" w:rsidRDefault="00AB4B0A" w:rsidP="00E527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D2159A" w:rsidRPr="00927DE5" w:rsidRDefault="00D567FF" w:rsidP="00E52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2159A" w:rsidRPr="00927DE5" w:rsidRDefault="00D2159A" w:rsidP="00A9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7BC1" w:rsidRPr="00927DE5" w:rsidRDefault="00077BC1" w:rsidP="00A9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AA7" w:rsidRPr="00AD3FA0" w:rsidRDefault="00D567FF" w:rsidP="00A60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Dnevni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60AA7" w:rsidRPr="00CA22B2" w:rsidRDefault="00A60AA7" w:rsidP="00A60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CF0" w:rsidRPr="00E25CF0" w:rsidRDefault="00D567FF" w:rsidP="00E25CF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Predstavljanje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Godišnjeg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02-2681/24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25CF0" w:rsidRPr="00E25CF0" w:rsidRDefault="00D567FF" w:rsidP="00E25C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Zaključku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usvajanju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pravnih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tekovina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NPAA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donela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03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337-2514/24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); </w:t>
      </w:r>
    </w:p>
    <w:p w:rsidR="00E25CF0" w:rsidRPr="00E25CF0" w:rsidRDefault="00D567FF" w:rsidP="00E25C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učestvovati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međuparlamentarnog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vladavine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organizaciji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građanske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Evropskog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LIBE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="00E25CF0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E25CF0" w:rsidRPr="00E25CF0" w:rsidRDefault="00D567FF" w:rsidP="00E25C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E25CF0" w:rsidRPr="00E25CF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F384F" w:rsidRDefault="007F384F" w:rsidP="0074284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AA7" w:rsidRPr="00A90D22" w:rsidRDefault="00A60AA7" w:rsidP="00742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7A39A2" w:rsidRDefault="00D567FF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6B6536"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B6536"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B6536"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B6536"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Predstavljanje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Godišnjeg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96074" w:rsidRDefault="00996074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6074" w:rsidRDefault="00D567FF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Žiofre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najpre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074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proširenja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promenjen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tempo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pregovorima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državama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konkretno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pozitivan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ambiciozan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najavio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usklađivanje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kriterijumima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jednu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političku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istorijsku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prekretnicu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Potom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prethodnih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zaključno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septembrom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44BE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Najpre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osvrnuo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konstatovano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napomenom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održani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izbori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očekivanih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prethodnom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konstatovano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ispunjena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tehnička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merila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otvaranje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Klastera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 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Konkurentnost</w:t>
      </w:r>
      <w:r w:rsidR="00CB7AFA" w:rsidRPr="00CB7AF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i</w:t>
      </w:r>
      <w:r w:rsidR="00CB7AFA" w:rsidRPr="00CB7AF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inkluzivni</w:t>
      </w:r>
      <w:r w:rsidR="00CB7AFA" w:rsidRPr="00CB7AF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rast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članice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razmatraju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zavisi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otvaranje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klastera</w:t>
      </w:r>
      <w:r w:rsidR="00CD739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svakom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brži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Evropska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unija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pružiti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tehničku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7A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zavidan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pogledu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Ekonomskog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Klaster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povezanih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reformi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dobar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pokazatelj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nedavno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dobijeni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informacioni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rejting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borbu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nastavak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reformi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 (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Pravda</w:t>
      </w:r>
      <w:r w:rsidR="00DB5943" w:rsidRPr="00EB573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sloboda</w:t>
      </w:r>
      <w:r w:rsidR="00DB5943" w:rsidRPr="00EB573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i</w:t>
      </w:r>
      <w:r w:rsidR="00DB5943" w:rsidRPr="00EB573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bezbednost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uključujući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migratornim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tokovima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potpisivanje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Statusnog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Fronteksom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B5943">
        <w:rPr>
          <w:rFonts w:ascii="Times New Roman" w:eastAsia="Times New Roman" w:hAnsi="Times New Roman" w:cs="Times New Roman"/>
          <w:sz w:val="24"/>
          <w:szCs w:val="24"/>
          <w:lang w:val="en-US"/>
        </w:rPr>
        <w:t>European Border and Coast Guard Agency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graničnu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obalnu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stražu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posvećenost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dodatno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uskladi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viznom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politikom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 (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Spoljna</w:t>
      </w:r>
      <w:r w:rsidR="00DB5943" w:rsidRPr="00DB5943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bezbednosna</w:t>
      </w:r>
      <w:r w:rsidR="00DB5943" w:rsidRPr="00DB5943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i</w:t>
      </w:r>
      <w:r w:rsidR="00DB5943" w:rsidRPr="00DB5943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odbrambena</w:t>
      </w:r>
      <w:r w:rsidR="00DB5943" w:rsidRPr="00DB5943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politika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osvrnuo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materijalnu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Ukrajini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unijom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krizama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misijama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operacijama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navedenog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EB5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određenim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oblastima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neophodan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dodatni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Klasteru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transparentnost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napredovanje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sudija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tužilaca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zasnovano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zaslugama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ulaganjem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napora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borbu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promovisanje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slobode</w:t>
      </w:r>
      <w:r w:rsidR="00DB5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izražavanja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proaktivnije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komunikacije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uključeni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priključivanja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kontinuiranog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svakoj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fazi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projektima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evrointegracija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je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kritična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jeste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VD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javnoj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ključne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polju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bezbednosne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umereno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uskladila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stavovima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B47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="006B47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intenzivne</w:t>
      </w:r>
      <w:r w:rsidR="006B47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6B47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B47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Rusijom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Kinom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uveravanje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strateškom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opredeljenju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Ključni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aspekt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prošlom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jeste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="003F4F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ODIHR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O</w:t>
      </w:r>
      <w:r w:rsidR="00022C9D" w:rsidRPr="00022C9D">
        <w:rPr>
          <w:rFonts w:ascii="Times New Roman" w:eastAsia="Times New Roman" w:hAnsi="Times New Roman" w:cs="Times New Roman"/>
          <w:i/>
          <w:sz w:val="24"/>
          <w:szCs w:val="24"/>
        </w:rPr>
        <w:t>ffice for Democratic Institutions and Human Rights</w:t>
      </w:r>
      <w:r w:rsidR="00022C9D">
        <w:rPr>
          <w:rFonts w:ascii="Times New Roman" w:eastAsia="Times New Roman" w:hAnsi="Times New Roman" w:cs="Times New Roman"/>
          <w:sz w:val="24"/>
          <w:szCs w:val="24"/>
        </w:rPr>
        <w:t>)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pogledu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medija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konstatovana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formiranja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REM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Regulatorno</w:t>
      </w:r>
      <w:r w:rsidR="00022C9D" w:rsidRPr="00022C9D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telo</w:t>
      </w:r>
      <w:r w:rsidR="00022C9D" w:rsidRPr="00022C9D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za</w:t>
      </w:r>
      <w:r w:rsidR="00022C9D" w:rsidRPr="00022C9D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elektronske</w:t>
      </w:r>
      <w:r w:rsidR="00022C9D" w:rsidRPr="00022C9D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medije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022C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odavno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okončano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važnosti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procenu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slike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pogledu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uloge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Žiofre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sposobnost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kontrolnu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nadzornu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efikasnosti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autonomije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transparentnosti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vršenju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izvršnom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vlašću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pluralističniji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debate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prate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tenzije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vladajuće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koalicije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opozicije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revidiraju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Etički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kodeks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ocenjuje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nedostatak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uslovljen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agendom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pozitivan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trend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smanjenju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nezaposlenosti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unaprediti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usavršavanje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nedostatka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snage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relativno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čine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BDP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Bruto</w:t>
      </w:r>
      <w:r w:rsidR="00AC411F" w:rsidRPr="00477D60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društvenog</w:t>
      </w:r>
      <w:r w:rsidR="00AC411F" w:rsidRPr="00477D60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proizvoda</w:t>
      </w:r>
      <w:r w:rsidR="00AC41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okarakterisane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brojnim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izuzećima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ubrzanja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tranzicije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obnovljive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izvore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energetsku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efikasnost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zavisnosti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Rusije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onda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investicioni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razmene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osvrnuo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rasta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pohvalio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istog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rekordnom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stuba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rasta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omogućiti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postepene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jedinstvenim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tržištem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pogledu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fundamentalnih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reformi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obezbedila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tranša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isplaćena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77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21228A" w:rsidRDefault="0021228A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228A" w:rsidRDefault="00D567FF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Miščević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najvažnija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ispunjenje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Reformske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agende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doneto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osam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akcenat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oblastima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Klaster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reviziji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biračkog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spiska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formiranju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REM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medijskim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odobrila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finansijskom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sporazumu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ratifikovan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koordinacionom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sistemu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sređivanje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postojećeg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dodavanje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Reformske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agende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praćenja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izveštavanja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="0021228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3A9B" w:rsidRDefault="00D33A9B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9B" w:rsidRDefault="00D567FF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B47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6B47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otvorene</w:t>
      </w:r>
      <w:r w:rsidR="006B47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6B47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Kozma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B47B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poslednjem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6B47B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razliku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poput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nedostatka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vladavine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izražavanja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scene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ODIHR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slobodne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suštinskog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svit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tih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ključnih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postati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3A9B" w:rsidRDefault="00D33A9B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9B" w:rsidRDefault="00D567FF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Radin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nedosatke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samoj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metodoligiji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sastavljen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prepisuju</w:t>
      </w:r>
      <w:r w:rsidR="00FB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FB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osvrta</w:t>
      </w:r>
      <w:r w:rsidR="00FB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B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realno</w:t>
      </w:r>
      <w:r w:rsidR="00FB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FB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B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FB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B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FB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izloženo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pritisku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navođenja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koga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pritisak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dolazi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pojedinim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političkim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akterima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blikiraju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njihovom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3A9B" w:rsidRDefault="00D33A9B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9B" w:rsidRDefault="00D567FF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D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Filipovski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objasnila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evroskepticizma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zastupljen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postale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iako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nerešena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značajnija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poput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nacionalnih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manjina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slično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pojedinim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državama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otvarana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poglavanja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nesporne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postojanja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nemira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kršenja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ljudskih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toj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čeka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otvaranje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Klastera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</w:t>
      </w:r>
    </w:p>
    <w:p w:rsidR="00D33A9B" w:rsidRDefault="00D33A9B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9B" w:rsidRPr="00D33A9B" w:rsidRDefault="00D567FF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složila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metodologija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pisanja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kompletna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kraći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nijednom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rečju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spominje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ranijim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izveštajima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iako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opozicije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B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odlična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kontinuirana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D33A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F4F96" w:rsidRDefault="003F4F96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B5943" w:rsidRDefault="00D567FF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BE0D8A" w:rsidRPr="00BE0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Žiofre</w:t>
      </w:r>
      <w:r w:rsidR="00BE0D8A" w:rsidRPr="00BE0D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iznetim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komentarima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jednom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zamah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proširenju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realan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trenutak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ubrza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reforme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prenos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rasta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definitivno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pokazatelj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postojanja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napretka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vladavine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određuje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tempo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napretka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kompromisa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olakšala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Reformske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agende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A16A3" w:rsidRDefault="00AA16A3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6A3" w:rsidRDefault="00D567FF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Miščević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neophodnoda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metodologije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podjednako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tretirati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status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stekle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vladavina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svakako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najvažnije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podjednako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opoziciju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demokratije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građanskog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AA16A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16A3" w:rsidRDefault="00AA16A3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39A2" w:rsidRDefault="00D567FF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7A39A2"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7A39A2"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7A39A2"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7A39A2"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Zaključku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usvajanju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pravnih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tekovina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NPAA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7A39A2" w:rsidRPr="00E25C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E209A9" w:rsidRDefault="00E209A9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39A2" w:rsidRDefault="00D567FF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Miščević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petoj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reviziji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Objasnila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najpre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potrebi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tehnologijama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uvežu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postojeći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programi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planiranje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zakonodavne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Reformskom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agendom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objedinjeno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jednoj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digitalnoj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platformi</w:t>
      </w:r>
      <w:r w:rsidR="002361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celokupnu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zakonodavnu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svakom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svakoj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poznati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5AC">
        <w:rPr>
          <w:rFonts w:ascii="Times New Roman" w:eastAsia="Times New Roman" w:hAnsi="Times New Roman" w:cs="Times New Roman"/>
          <w:sz w:val="24"/>
          <w:szCs w:val="24"/>
          <w:lang w:val="en-US"/>
        </w:rPr>
        <w:t>Acquis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pravne</w:t>
      </w:r>
      <w:r w:rsidR="009135AC" w:rsidRPr="009135A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tekovine</w:t>
      </w:r>
      <w:r w:rsidR="009135AC" w:rsidRPr="009135A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Evropske</w:t>
      </w:r>
      <w:r w:rsidR="009135AC" w:rsidRPr="009135A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unije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raste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planirano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kreće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analizom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kakvo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koliki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stepen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implementacije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ubrzanje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ipmplemetnaciaju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Reformske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agende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okonča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jasno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iskaže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volja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želja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namera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postane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9135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navedenom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upodobiti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postojeći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NPAA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usled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ulogu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ubrzanja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evropskih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imati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478E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478E7" w:rsidRDefault="009478E7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39A2" w:rsidRDefault="00D567FF" w:rsidP="007A3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7A39A2" w:rsidRPr="007A39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7A39A2" w:rsidRPr="007A39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7A39A2" w:rsidRPr="007A39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7A39A2" w:rsidRPr="007A39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Određivanje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učestvovati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međuparlamentarnog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vladavine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organizaciji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građanske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slobode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pravosuđe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unutrašnje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Evropskog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LIBE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A39A2" w:rsidRP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A3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</w:p>
    <w:p w:rsidR="009705FF" w:rsidRDefault="009705FF" w:rsidP="007A3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05FF" w:rsidRDefault="00D567FF" w:rsidP="007A3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konsultacija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obavila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delegaciji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Radin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Miljanić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Diligenski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705FF" w:rsidRDefault="009705FF" w:rsidP="007A3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05FF" w:rsidRPr="007A39A2" w:rsidRDefault="00D567FF" w:rsidP="007A3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odredio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sastavu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učestvovati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međuparlamentrnog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vladavine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Radin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Miljanić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Diligenski</w:t>
      </w:r>
      <w:r w:rsidR="009705F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A39A2" w:rsidRDefault="007A39A2" w:rsidP="00962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6357" w:rsidRPr="00506FD9" w:rsidRDefault="00D457DF" w:rsidP="00E958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06FD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567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6B6536" w:rsidRPr="00506FD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  <w:r w:rsidR="006B6536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0E75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9E78DF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niko</w:t>
      </w:r>
      <w:r w:rsidR="00BB6357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B6357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B6357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javio</w:t>
      </w:r>
      <w:r w:rsidR="00BB6357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B6357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BB6357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BB6357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B6357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BB6357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B6357" w:rsidRPr="007A39A2" w:rsidRDefault="00BB6357" w:rsidP="00E958D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sr-Cyrl-RS"/>
        </w:rPr>
      </w:pPr>
    </w:p>
    <w:p w:rsidR="006B6536" w:rsidRPr="00506FD9" w:rsidRDefault="00D567FF" w:rsidP="00BB635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B2FA7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1B2FA7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9E78DF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E25895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E78DF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506FD9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06FD9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06FD9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informisani</w:t>
      </w:r>
      <w:r w:rsidR="00506FD9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planirano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podnesu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skupštinsku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proceduru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zaključaka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predlogu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izjasnila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plenumu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</w:t>
      </w:r>
      <w:r w:rsidR="007E74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procedura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prethodne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55B23" w:rsidRPr="00506F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B6357" w:rsidRPr="007A39A2" w:rsidRDefault="00BB6357" w:rsidP="00E958D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9675B8" w:rsidRPr="007D2951" w:rsidRDefault="00D567FF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75B8" w:rsidRPr="007E747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E747F" w:rsidRPr="007E747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675B8" w:rsidRPr="007E747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12BB" w:rsidRPr="007E747F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="009675B8" w:rsidRPr="007E7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675B8"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675B8" w:rsidRPr="00AD3FA0" w:rsidRDefault="009675B8" w:rsidP="00967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5B8" w:rsidRPr="00AD3FA0" w:rsidRDefault="00D567FF" w:rsidP="009675B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9675B8" w:rsidRPr="00AD3FA0" w:rsidRDefault="009675B8" w:rsidP="00967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47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>Kovács Elvira</w:t>
      </w:r>
    </w:p>
    <w:p w:rsidR="009675B8" w:rsidRPr="00AD3FA0" w:rsidRDefault="009675B8" w:rsidP="00967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(</w:t>
      </w:r>
      <w:r w:rsidR="00D567FF">
        <w:rPr>
          <w:rFonts w:ascii="Times New Roman" w:eastAsia="Calibri" w:hAnsi="Times New Roman" w:cs="Times New Roman"/>
          <w:sz w:val="24"/>
          <w:szCs w:val="24"/>
          <w:lang w:val="sr-Cyrl-RS"/>
        </w:rPr>
        <w:t>Elvira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67FF">
        <w:rPr>
          <w:rFonts w:ascii="Times New Roman" w:eastAsia="Calibri" w:hAnsi="Times New Roman" w:cs="Times New Roman"/>
          <w:sz w:val="24"/>
          <w:szCs w:val="24"/>
          <w:lang w:val="sr-Cyrl-RS"/>
        </w:rPr>
        <w:t>Kovač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9675B8" w:rsidRPr="00AD3FA0" w:rsidRDefault="009675B8" w:rsidP="0096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5B8" w:rsidRPr="00AD3FA0" w:rsidRDefault="009675B8" w:rsidP="009675B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5B8" w:rsidRPr="00AD3FA0" w:rsidRDefault="009675B8" w:rsidP="00967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AA7" w:rsidRPr="00AD3FA0" w:rsidRDefault="00A60AA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60AA7" w:rsidRPr="00AD3FA0" w:rsidSect="00847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C7" w:rsidRDefault="00E51BC7" w:rsidP="00654664">
      <w:pPr>
        <w:spacing w:after="0" w:line="240" w:lineRule="auto"/>
      </w:pPr>
      <w:r>
        <w:separator/>
      </w:r>
    </w:p>
  </w:endnote>
  <w:endnote w:type="continuationSeparator" w:id="0">
    <w:p w:rsidR="00E51BC7" w:rsidRDefault="00E51BC7" w:rsidP="0065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FF" w:rsidRDefault="00D56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101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4664" w:rsidRDefault="006546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7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4664" w:rsidRDefault="00654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FF" w:rsidRDefault="00D56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C7" w:rsidRDefault="00E51BC7" w:rsidP="00654664">
      <w:pPr>
        <w:spacing w:after="0" w:line="240" w:lineRule="auto"/>
      </w:pPr>
      <w:r>
        <w:separator/>
      </w:r>
    </w:p>
  </w:footnote>
  <w:footnote w:type="continuationSeparator" w:id="0">
    <w:p w:rsidR="00E51BC7" w:rsidRDefault="00E51BC7" w:rsidP="0065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FF" w:rsidRDefault="00D56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FF" w:rsidRDefault="00D567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FF" w:rsidRDefault="00D56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15"/>
    <w:multiLevelType w:val="hybridMultilevel"/>
    <w:tmpl w:val="37FAF556"/>
    <w:lvl w:ilvl="0" w:tplc="92E258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96DF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B2D9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FEFB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08CA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A8AF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58E9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86FA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3A24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24114A6"/>
    <w:multiLevelType w:val="hybridMultilevel"/>
    <w:tmpl w:val="A4945DEC"/>
    <w:lvl w:ilvl="0" w:tplc="AA2259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4672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2666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62F2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806C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F6D0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5CF5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5001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1420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54B383F"/>
    <w:multiLevelType w:val="hybridMultilevel"/>
    <w:tmpl w:val="23AE1674"/>
    <w:lvl w:ilvl="0" w:tplc="A51C8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8F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66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21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A4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8E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29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8E7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2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B173C4"/>
    <w:multiLevelType w:val="hybridMultilevel"/>
    <w:tmpl w:val="015A43AE"/>
    <w:lvl w:ilvl="0" w:tplc="B832C5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F43D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7EA1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1EF0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F0CD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8C6C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C295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9C3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6E7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1CE3F6B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0539F"/>
    <w:multiLevelType w:val="hybridMultilevel"/>
    <w:tmpl w:val="9C4EF8CE"/>
    <w:lvl w:ilvl="0" w:tplc="98B00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28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02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04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84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0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C1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02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CD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287BB6"/>
    <w:multiLevelType w:val="hybridMultilevel"/>
    <w:tmpl w:val="B48612B2"/>
    <w:lvl w:ilvl="0" w:tplc="8E3C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2D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D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2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E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6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16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42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2D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0819BB"/>
    <w:multiLevelType w:val="hybridMultilevel"/>
    <w:tmpl w:val="C0C03CE0"/>
    <w:lvl w:ilvl="0" w:tplc="DD0E0C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421F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D034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B479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AA28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94E1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7AEA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300F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085E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C01CD7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34429C"/>
    <w:multiLevelType w:val="hybridMultilevel"/>
    <w:tmpl w:val="498264DC"/>
    <w:lvl w:ilvl="0" w:tplc="E83CFB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2439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96FD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7691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C649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CCED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BEA3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F070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1E9E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1FE668D4"/>
    <w:multiLevelType w:val="hybridMultilevel"/>
    <w:tmpl w:val="A846258E"/>
    <w:lvl w:ilvl="0" w:tplc="3F2253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8F7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831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2AC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A66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46D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E25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C9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42D6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45E28"/>
    <w:multiLevelType w:val="hybridMultilevel"/>
    <w:tmpl w:val="5596CDD4"/>
    <w:lvl w:ilvl="0" w:tplc="9A74BE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921B36"/>
    <w:multiLevelType w:val="hybridMultilevel"/>
    <w:tmpl w:val="35C2D8EE"/>
    <w:lvl w:ilvl="0" w:tplc="CBF03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20AC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E086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D2EC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F47D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AA7F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DCB6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6C15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F84D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1991264"/>
    <w:multiLevelType w:val="hybridMultilevel"/>
    <w:tmpl w:val="99861DF2"/>
    <w:lvl w:ilvl="0" w:tplc="113ED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C3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066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2A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C3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49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8F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262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6A5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1D060A6"/>
    <w:multiLevelType w:val="hybridMultilevel"/>
    <w:tmpl w:val="11FA126E"/>
    <w:lvl w:ilvl="0" w:tplc="59EE87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A864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5EA0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22C0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300A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40EA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227E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884B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BCE1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6C92FD4"/>
    <w:multiLevelType w:val="hybridMultilevel"/>
    <w:tmpl w:val="17E06A78"/>
    <w:lvl w:ilvl="0" w:tplc="19D0A8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D8AF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9816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9C73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6080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A472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90EF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CCA7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5EEB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2B3850DB"/>
    <w:multiLevelType w:val="hybridMultilevel"/>
    <w:tmpl w:val="32B0060C"/>
    <w:lvl w:ilvl="0" w:tplc="42FC0A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34F4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9EF7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762A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DCDF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A8F2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2456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70EA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EC8B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2CA5736D"/>
    <w:multiLevelType w:val="hybridMultilevel"/>
    <w:tmpl w:val="EBD2968C"/>
    <w:lvl w:ilvl="0" w:tplc="DFEE3E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BAD3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665F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4CF4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5AA1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4A06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7AA4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464C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46F6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308224CE"/>
    <w:multiLevelType w:val="hybridMultilevel"/>
    <w:tmpl w:val="7570B4E6"/>
    <w:lvl w:ilvl="0" w:tplc="882A40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CECF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42DD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8EB7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A224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FCAC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CAD4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246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AC2C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30AB52DF"/>
    <w:multiLevelType w:val="hybridMultilevel"/>
    <w:tmpl w:val="FA2C2056"/>
    <w:lvl w:ilvl="0" w:tplc="D878F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452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054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27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BAA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A3D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49D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8E3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CA5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70187"/>
    <w:multiLevelType w:val="hybridMultilevel"/>
    <w:tmpl w:val="850CC734"/>
    <w:lvl w:ilvl="0" w:tplc="951261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F688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5AA0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140A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D283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803C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B0F0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1858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66C6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36162AC4"/>
    <w:multiLevelType w:val="hybridMultilevel"/>
    <w:tmpl w:val="62000638"/>
    <w:lvl w:ilvl="0" w:tplc="F5A09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97FAD"/>
    <w:multiLevelType w:val="hybridMultilevel"/>
    <w:tmpl w:val="D58E5570"/>
    <w:lvl w:ilvl="0" w:tplc="22325A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5CC4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C44E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C8D5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E09A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98CD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3208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DCBA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F0F2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39843B77"/>
    <w:multiLevelType w:val="hybridMultilevel"/>
    <w:tmpl w:val="15D84DA6"/>
    <w:lvl w:ilvl="0" w:tplc="65D2B7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809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60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CF0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E0A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66F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69F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8F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FECB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050E6"/>
    <w:multiLevelType w:val="hybridMultilevel"/>
    <w:tmpl w:val="7DA80AD4"/>
    <w:lvl w:ilvl="0" w:tplc="EAB231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BC45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3006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7A18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06EB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C05E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7E20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36C6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0401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3D1B7DFD"/>
    <w:multiLevelType w:val="hybridMultilevel"/>
    <w:tmpl w:val="58F63D0C"/>
    <w:lvl w:ilvl="0" w:tplc="86F618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402A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9A81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E878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526A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8680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A010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766C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DEE7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40484EF1"/>
    <w:multiLevelType w:val="hybridMultilevel"/>
    <w:tmpl w:val="7E84FEB8"/>
    <w:lvl w:ilvl="0" w:tplc="72545D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303E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4625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18AF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EA36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A67E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9E02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5640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86F7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4557693A"/>
    <w:multiLevelType w:val="hybridMultilevel"/>
    <w:tmpl w:val="61B6F048"/>
    <w:lvl w:ilvl="0" w:tplc="9C6420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BC9E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FE5E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D248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7E49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E01A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5438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2CA2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BC6C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4B7A56FF"/>
    <w:multiLevelType w:val="hybridMultilevel"/>
    <w:tmpl w:val="84427FF6"/>
    <w:lvl w:ilvl="0" w:tplc="68366E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C2EB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4863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4805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807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8C78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38BB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1E21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8C04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4BA114A7"/>
    <w:multiLevelType w:val="hybridMultilevel"/>
    <w:tmpl w:val="0A12D19C"/>
    <w:lvl w:ilvl="0" w:tplc="EA542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74A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E9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09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2F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FA1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AE7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AEB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8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DB43203"/>
    <w:multiLevelType w:val="hybridMultilevel"/>
    <w:tmpl w:val="A9CA3AB4"/>
    <w:lvl w:ilvl="0" w:tplc="571C398E">
      <w:start w:val="1"/>
      <w:numFmt w:val="bullet"/>
      <w:lvlText w:val=""/>
      <w:lvlJc w:val="left"/>
      <w:pPr>
        <w:tabs>
          <w:tab w:val="num" w:pos="1494"/>
        </w:tabs>
        <w:ind w:left="1494" w:hanging="360"/>
      </w:pPr>
      <w:rPr>
        <w:rFonts w:ascii="Wingdings 3" w:hAnsi="Wingdings 3" w:hint="default"/>
      </w:rPr>
    </w:lvl>
    <w:lvl w:ilvl="1" w:tplc="84367688" w:tentative="1">
      <w:start w:val="1"/>
      <w:numFmt w:val="bullet"/>
      <w:lvlText w:val=""/>
      <w:lvlJc w:val="left"/>
      <w:pPr>
        <w:tabs>
          <w:tab w:val="num" w:pos="2214"/>
        </w:tabs>
        <w:ind w:left="2214" w:hanging="360"/>
      </w:pPr>
      <w:rPr>
        <w:rFonts w:ascii="Wingdings 3" w:hAnsi="Wingdings 3" w:hint="default"/>
      </w:rPr>
    </w:lvl>
    <w:lvl w:ilvl="2" w:tplc="BB984710" w:tentative="1">
      <w:start w:val="1"/>
      <w:numFmt w:val="bullet"/>
      <w:lvlText w:val=""/>
      <w:lvlJc w:val="left"/>
      <w:pPr>
        <w:tabs>
          <w:tab w:val="num" w:pos="2934"/>
        </w:tabs>
        <w:ind w:left="2934" w:hanging="360"/>
      </w:pPr>
      <w:rPr>
        <w:rFonts w:ascii="Wingdings 3" w:hAnsi="Wingdings 3" w:hint="default"/>
      </w:rPr>
    </w:lvl>
    <w:lvl w:ilvl="3" w:tplc="9A20259C" w:tentative="1">
      <w:start w:val="1"/>
      <w:numFmt w:val="bullet"/>
      <w:lvlText w:val=""/>
      <w:lvlJc w:val="left"/>
      <w:pPr>
        <w:tabs>
          <w:tab w:val="num" w:pos="3654"/>
        </w:tabs>
        <w:ind w:left="3654" w:hanging="360"/>
      </w:pPr>
      <w:rPr>
        <w:rFonts w:ascii="Wingdings 3" w:hAnsi="Wingdings 3" w:hint="default"/>
      </w:rPr>
    </w:lvl>
    <w:lvl w:ilvl="4" w:tplc="21F656F0" w:tentative="1">
      <w:start w:val="1"/>
      <w:numFmt w:val="bullet"/>
      <w:lvlText w:val=""/>
      <w:lvlJc w:val="left"/>
      <w:pPr>
        <w:tabs>
          <w:tab w:val="num" w:pos="4374"/>
        </w:tabs>
        <w:ind w:left="4374" w:hanging="360"/>
      </w:pPr>
      <w:rPr>
        <w:rFonts w:ascii="Wingdings 3" w:hAnsi="Wingdings 3" w:hint="default"/>
      </w:rPr>
    </w:lvl>
    <w:lvl w:ilvl="5" w:tplc="B754BE7C" w:tentative="1">
      <w:start w:val="1"/>
      <w:numFmt w:val="bullet"/>
      <w:lvlText w:val=""/>
      <w:lvlJc w:val="left"/>
      <w:pPr>
        <w:tabs>
          <w:tab w:val="num" w:pos="5094"/>
        </w:tabs>
        <w:ind w:left="5094" w:hanging="360"/>
      </w:pPr>
      <w:rPr>
        <w:rFonts w:ascii="Wingdings 3" w:hAnsi="Wingdings 3" w:hint="default"/>
      </w:rPr>
    </w:lvl>
    <w:lvl w:ilvl="6" w:tplc="23BAFB92" w:tentative="1">
      <w:start w:val="1"/>
      <w:numFmt w:val="bullet"/>
      <w:lvlText w:val=""/>
      <w:lvlJc w:val="left"/>
      <w:pPr>
        <w:tabs>
          <w:tab w:val="num" w:pos="5814"/>
        </w:tabs>
        <w:ind w:left="5814" w:hanging="360"/>
      </w:pPr>
      <w:rPr>
        <w:rFonts w:ascii="Wingdings 3" w:hAnsi="Wingdings 3" w:hint="default"/>
      </w:rPr>
    </w:lvl>
    <w:lvl w:ilvl="7" w:tplc="CF404D58" w:tentative="1">
      <w:start w:val="1"/>
      <w:numFmt w:val="bullet"/>
      <w:lvlText w:val=""/>
      <w:lvlJc w:val="left"/>
      <w:pPr>
        <w:tabs>
          <w:tab w:val="num" w:pos="6534"/>
        </w:tabs>
        <w:ind w:left="6534" w:hanging="360"/>
      </w:pPr>
      <w:rPr>
        <w:rFonts w:ascii="Wingdings 3" w:hAnsi="Wingdings 3" w:hint="default"/>
      </w:rPr>
    </w:lvl>
    <w:lvl w:ilvl="8" w:tplc="7EC6187A" w:tentative="1">
      <w:start w:val="1"/>
      <w:numFmt w:val="bullet"/>
      <w:lvlText w:val=""/>
      <w:lvlJc w:val="left"/>
      <w:pPr>
        <w:tabs>
          <w:tab w:val="num" w:pos="7254"/>
        </w:tabs>
        <w:ind w:left="7254" w:hanging="360"/>
      </w:pPr>
      <w:rPr>
        <w:rFonts w:ascii="Wingdings 3" w:hAnsi="Wingdings 3" w:hint="default"/>
      </w:rPr>
    </w:lvl>
  </w:abstractNum>
  <w:abstractNum w:abstractNumId="32" w15:restartNumberingAfterBreak="0">
    <w:nsid w:val="4F3C69DE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CB52CE"/>
    <w:multiLevelType w:val="hybridMultilevel"/>
    <w:tmpl w:val="D8EC95B6"/>
    <w:lvl w:ilvl="0" w:tplc="E7DA1E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688F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549F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1A48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5C7C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E43F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363D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5495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7CC8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50D4102E"/>
    <w:multiLevelType w:val="hybridMultilevel"/>
    <w:tmpl w:val="BF74508C"/>
    <w:lvl w:ilvl="0" w:tplc="A4C25752">
      <w:start w:val="1"/>
      <w:numFmt w:val="bullet"/>
      <w:lvlText w:val=""/>
      <w:lvlJc w:val="left"/>
      <w:pPr>
        <w:tabs>
          <w:tab w:val="num" w:pos="3195"/>
        </w:tabs>
        <w:ind w:left="3195" w:hanging="360"/>
      </w:pPr>
      <w:rPr>
        <w:rFonts w:ascii="Wingdings 3" w:hAnsi="Wingdings 3" w:hint="default"/>
      </w:rPr>
    </w:lvl>
    <w:lvl w:ilvl="1" w:tplc="404AC922" w:tentative="1">
      <w:start w:val="1"/>
      <w:numFmt w:val="bullet"/>
      <w:lvlText w:val=""/>
      <w:lvlJc w:val="left"/>
      <w:pPr>
        <w:tabs>
          <w:tab w:val="num" w:pos="3915"/>
        </w:tabs>
        <w:ind w:left="3915" w:hanging="360"/>
      </w:pPr>
      <w:rPr>
        <w:rFonts w:ascii="Wingdings 3" w:hAnsi="Wingdings 3" w:hint="default"/>
      </w:rPr>
    </w:lvl>
    <w:lvl w:ilvl="2" w:tplc="AD38C280" w:tentative="1">
      <w:start w:val="1"/>
      <w:numFmt w:val="bullet"/>
      <w:lvlText w:val=""/>
      <w:lvlJc w:val="left"/>
      <w:pPr>
        <w:tabs>
          <w:tab w:val="num" w:pos="4635"/>
        </w:tabs>
        <w:ind w:left="4635" w:hanging="360"/>
      </w:pPr>
      <w:rPr>
        <w:rFonts w:ascii="Wingdings 3" w:hAnsi="Wingdings 3" w:hint="default"/>
      </w:rPr>
    </w:lvl>
    <w:lvl w:ilvl="3" w:tplc="36B079D2" w:tentative="1">
      <w:start w:val="1"/>
      <w:numFmt w:val="bullet"/>
      <w:lvlText w:val=""/>
      <w:lvlJc w:val="left"/>
      <w:pPr>
        <w:tabs>
          <w:tab w:val="num" w:pos="5355"/>
        </w:tabs>
        <w:ind w:left="5355" w:hanging="360"/>
      </w:pPr>
      <w:rPr>
        <w:rFonts w:ascii="Wingdings 3" w:hAnsi="Wingdings 3" w:hint="default"/>
      </w:rPr>
    </w:lvl>
    <w:lvl w:ilvl="4" w:tplc="FF200B12" w:tentative="1">
      <w:start w:val="1"/>
      <w:numFmt w:val="bullet"/>
      <w:lvlText w:val=""/>
      <w:lvlJc w:val="left"/>
      <w:pPr>
        <w:tabs>
          <w:tab w:val="num" w:pos="6075"/>
        </w:tabs>
        <w:ind w:left="6075" w:hanging="360"/>
      </w:pPr>
      <w:rPr>
        <w:rFonts w:ascii="Wingdings 3" w:hAnsi="Wingdings 3" w:hint="default"/>
      </w:rPr>
    </w:lvl>
    <w:lvl w:ilvl="5" w:tplc="F4F2AFCE" w:tentative="1">
      <w:start w:val="1"/>
      <w:numFmt w:val="bullet"/>
      <w:lvlText w:val=""/>
      <w:lvlJc w:val="left"/>
      <w:pPr>
        <w:tabs>
          <w:tab w:val="num" w:pos="6795"/>
        </w:tabs>
        <w:ind w:left="6795" w:hanging="360"/>
      </w:pPr>
      <w:rPr>
        <w:rFonts w:ascii="Wingdings 3" w:hAnsi="Wingdings 3" w:hint="default"/>
      </w:rPr>
    </w:lvl>
    <w:lvl w:ilvl="6" w:tplc="F1D2C3C4" w:tentative="1">
      <w:start w:val="1"/>
      <w:numFmt w:val="bullet"/>
      <w:lvlText w:val=""/>
      <w:lvlJc w:val="left"/>
      <w:pPr>
        <w:tabs>
          <w:tab w:val="num" w:pos="7515"/>
        </w:tabs>
        <w:ind w:left="7515" w:hanging="360"/>
      </w:pPr>
      <w:rPr>
        <w:rFonts w:ascii="Wingdings 3" w:hAnsi="Wingdings 3" w:hint="default"/>
      </w:rPr>
    </w:lvl>
    <w:lvl w:ilvl="7" w:tplc="D096B44C" w:tentative="1">
      <w:start w:val="1"/>
      <w:numFmt w:val="bullet"/>
      <w:lvlText w:val=""/>
      <w:lvlJc w:val="left"/>
      <w:pPr>
        <w:tabs>
          <w:tab w:val="num" w:pos="8235"/>
        </w:tabs>
        <w:ind w:left="8235" w:hanging="360"/>
      </w:pPr>
      <w:rPr>
        <w:rFonts w:ascii="Wingdings 3" w:hAnsi="Wingdings 3" w:hint="default"/>
      </w:rPr>
    </w:lvl>
    <w:lvl w:ilvl="8" w:tplc="54B66330" w:tentative="1">
      <w:start w:val="1"/>
      <w:numFmt w:val="bullet"/>
      <w:lvlText w:val=""/>
      <w:lvlJc w:val="left"/>
      <w:pPr>
        <w:tabs>
          <w:tab w:val="num" w:pos="8955"/>
        </w:tabs>
        <w:ind w:left="8955" w:hanging="360"/>
      </w:pPr>
      <w:rPr>
        <w:rFonts w:ascii="Wingdings 3" w:hAnsi="Wingdings 3" w:hint="default"/>
      </w:rPr>
    </w:lvl>
  </w:abstractNum>
  <w:abstractNum w:abstractNumId="35" w15:restartNumberingAfterBreak="0">
    <w:nsid w:val="528E5F80"/>
    <w:multiLevelType w:val="hybridMultilevel"/>
    <w:tmpl w:val="1A78E8C6"/>
    <w:lvl w:ilvl="0" w:tplc="9788CA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A449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127B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782C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4A1F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3602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C856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F8A1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E0D5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53426309"/>
    <w:multiLevelType w:val="hybridMultilevel"/>
    <w:tmpl w:val="1E88A5D6"/>
    <w:lvl w:ilvl="0" w:tplc="A02680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BE1E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D2A2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3A16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3032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44CE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40A3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9E34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1C74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56A367EC"/>
    <w:multiLevelType w:val="hybridMultilevel"/>
    <w:tmpl w:val="37ECA4AE"/>
    <w:lvl w:ilvl="0" w:tplc="306054A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76E6DD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736C7F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AC09E0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200976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C48412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060DDA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A6AB90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DEE802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D44FDA"/>
    <w:multiLevelType w:val="hybridMultilevel"/>
    <w:tmpl w:val="32F8A534"/>
    <w:lvl w:ilvl="0" w:tplc="3E024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2D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6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C0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EC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43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01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A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4B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8422CD0"/>
    <w:multiLevelType w:val="hybridMultilevel"/>
    <w:tmpl w:val="DAD6C34A"/>
    <w:lvl w:ilvl="0" w:tplc="A0F2E4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FA4E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7204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068F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2EEB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9C08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7865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B6AC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9C9D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 w15:restartNumberingAfterBreak="0">
    <w:nsid w:val="631742C9"/>
    <w:multiLevelType w:val="hybridMultilevel"/>
    <w:tmpl w:val="A888FF04"/>
    <w:lvl w:ilvl="0" w:tplc="07128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2A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C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8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05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07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26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ED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C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5763AB7"/>
    <w:multiLevelType w:val="hybridMultilevel"/>
    <w:tmpl w:val="860E26A4"/>
    <w:lvl w:ilvl="0" w:tplc="D5968B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9AE3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2487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7CC3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5A18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9856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669D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009E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C8EA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68D90879"/>
    <w:multiLevelType w:val="hybridMultilevel"/>
    <w:tmpl w:val="9A342914"/>
    <w:lvl w:ilvl="0" w:tplc="563817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A4F58A">
      <w:start w:val="274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0893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9212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FA82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2072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9494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C4A7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CEDB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69F4148D"/>
    <w:multiLevelType w:val="hybridMultilevel"/>
    <w:tmpl w:val="2152873E"/>
    <w:lvl w:ilvl="0" w:tplc="C1AC89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3813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A277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4AEA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761E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20F5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4874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2ADB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8CE3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 w15:restartNumberingAfterBreak="0">
    <w:nsid w:val="6C932468"/>
    <w:multiLevelType w:val="hybridMultilevel"/>
    <w:tmpl w:val="D4B25DC2"/>
    <w:lvl w:ilvl="0" w:tplc="495A65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DE7C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9EC3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1051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BC5A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8C5C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34B6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DC53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B2BE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5" w15:restartNumberingAfterBreak="0">
    <w:nsid w:val="717972BC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622836"/>
    <w:multiLevelType w:val="hybridMultilevel"/>
    <w:tmpl w:val="D2AC9130"/>
    <w:lvl w:ilvl="0" w:tplc="5ED8E3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9CBC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9E80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BEDC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E433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84F6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E6A9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460A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2A81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7" w15:restartNumberingAfterBreak="0">
    <w:nsid w:val="75F45973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E03BD2"/>
    <w:multiLevelType w:val="hybridMultilevel"/>
    <w:tmpl w:val="642ECE6C"/>
    <w:lvl w:ilvl="0" w:tplc="B98CD2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58DA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6040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5C02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5EF2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9A10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F63D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8CC7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9CF7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9" w15:restartNumberingAfterBreak="0">
    <w:nsid w:val="7D5D3444"/>
    <w:multiLevelType w:val="hybridMultilevel"/>
    <w:tmpl w:val="C34A6B1A"/>
    <w:lvl w:ilvl="0" w:tplc="28A475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809A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EE08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82CC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0A5E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EC9C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9683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481E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842C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0" w15:restartNumberingAfterBreak="0">
    <w:nsid w:val="7E677F74"/>
    <w:multiLevelType w:val="hybridMultilevel"/>
    <w:tmpl w:val="C960083A"/>
    <w:lvl w:ilvl="0" w:tplc="13D67E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F454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2A75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5643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1AFD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6A0A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9609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B235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008A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48"/>
  </w:num>
  <w:num w:numId="5">
    <w:abstractNumId w:val="44"/>
  </w:num>
  <w:num w:numId="6">
    <w:abstractNumId w:val="46"/>
  </w:num>
  <w:num w:numId="7">
    <w:abstractNumId w:val="18"/>
  </w:num>
  <w:num w:numId="8">
    <w:abstractNumId w:val="29"/>
  </w:num>
  <w:num w:numId="9">
    <w:abstractNumId w:val="15"/>
  </w:num>
  <w:num w:numId="10">
    <w:abstractNumId w:val="36"/>
  </w:num>
  <w:num w:numId="11">
    <w:abstractNumId w:val="21"/>
  </w:num>
  <w:num w:numId="12">
    <w:abstractNumId w:val="20"/>
  </w:num>
  <w:num w:numId="13">
    <w:abstractNumId w:val="24"/>
  </w:num>
  <w:num w:numId="14">
    <w:abstractNumId w:val="43"/>
  </w:num>
  <w:num w:numId="15">
    <w:abstractNumId w:val="37"/>
  </w:num>
  <w:num w:numId="16">
    <w:abstractNumId w:val="39"/>
  </w:num>
  <w:num w:numId="17">
    <w:abstractNumId w:val="10"/>
  </w:num>
  <w:num w:numId="18">
    <w:abstractNumId w:val="50"/>
  </w:num>
  <w:num w:numId="19">
    <w:abstractNumId w:val="33"/>
  </w:num>
  <w:num w:numId="20">
    <w:abstractNumId w:val="25"/>
  </w:num>
  <w:num w:numId="21">
    <w:abstractNumId w:val="3"/>
  </w:num>
  <w:num w:numId="22">
    <w:abstractNumId w:val="42"/>
  </w:num>
  <w:num w:numId="23">
    <w:abstractNumId w:val="17"/>
  </w:num>
  <w:num w:numId="24">
    <w:abstractNumId w:val="49"/>
  </w:num>
  <w:num w:numId="25">
    <w:abstractNumId w:val="0"/>
  </w:num>
  <w:num w:numId="26">
    <w:abstractNumId w:val="34"/>
  </w:num>
  <w:num w:numId="27">
    <w:abstractNumId w:val="27"/>
  </w:num>
  <w:num w:numId="28">
    <w:abstractNumId w:val="23"/>
  </w:num>
  <w:num w:numId="29">
    <w:abstractNumId w:val="13"/>
  </w:num>
  <w:num w:numId="30">
    <w:abstractNumId w:val="7"/>
  </w:num>
  <w:num w:numId="31">
    <w:abstractNumId w:val="35"/>
  </w:num>
  <w:num w:numId="32">
    <w:abstractNumId w:val="41"/>
  </w:num>
  <w:num w:numId="33">
    <w:abstractNumId w:val="38"/>
  </w:num>
  <w:num w:numId="34">
    <w:abstractNumId w:val="5"/>
  </w:num>
  <w:num w:numId="35">
    <w:abstractNumId w:val="14"/>
  </w:num>
  <w:num w:numId="36">
    <w:abstractNumId w:val="30"/>
  </w:num>
  <w:num w:numId="37">
    <w:abstractNumId w:val="1"/>
  </w:num>
  <w:num w:numId="38">
    <w:abstractNumId w:val="16"/>
  </w:num>
  <w:num w:numId="39">
    <w:abstractNumId w:val="28"/>
  </w:num>
  <w:num w:numId="40">
    <w:abstractNumId w:val="26"/>
  </w:num>
  <w:num w:numId="41">
    <w:abstractNumId w:val="11"/>
  </w:num>
  <w:num w:numId="42">
    <w:abstractNumId w:val="31"/>
  </w:num>
  <w:num w:numId="43">
    <w:abstractNumId w:val="40"/>
  </w:num>
  <w:num w:numId="44">
    <w:abstractNumId w:val="6"/>
  </w:num>
  <w:num w:numId="45">
    <w:abstractNumId w:val="2"/>
  </w:num>
  <w:num w:numId="46">
    <w:abstractNumId w:val="12"/>
  </w:num>
  <w:num w:numId="47">
    <w:abstractNumId w:val="22"/>
  </w:num>
  <w:num w:numId="48">
    <w:abstractNumId w:val="32"/>
  </w:num>
  <w:num w:numId="49">
    <w:abstractNumId w:val="47"/>
  </w:num>
  <w:num w:numId="50">
    <w:abstractNumId w:val="45"/>
  </w:num>
  <w:num w:numId="51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E1"/>
    <w:rsid w:val="00000422"/>
    <w:rsid w:val="000078DE"/>
    <w:rsid w:val="000173B6"/>
    <w:rsid w:val="00017881"/>
    <w:rsid w:val="00022C9D"/>
    <w:rsid w:val="00023AC7"/>
    <w:rsid w:val="00030791"/>
    <w:rsid w:val="0004342C"/>
    <w:rsid w:val="000505A9"/>
    <w:rsid w:val="00061693"/>
    <w:rsid w:val="00077BC1"/>
    <w:rsid w:val="00086018"/>
    <w:rsid w:val="0009191D"/>
    <w:rsid w:val="000A258F"/>
    <w:rsid w:val="000A4713"/>
    <w:rsid w:val="000C6028"/>
    <w:rsid w:val="000D1356"/>
    <w:rsid w:val="000F58AB"/>
    <w:rsid w:val="00104F9B"/>
    <w:rsid w:val="00112D5B"/>
    <w:rsid w:val="001269F4"/>
    <w:rsid w:val="00126F77"/>
    <w:rsid w:val="00132670"/>
    <w:rsid w:val="001333B9"/>
    <w:rsid w:val="00140AC3"/>
    <w:rsid w:val="001504D2"/>
    <w:rsid w:val="00170D83"/>
    <w:rsid w:val="00183E72"/>
    <w:rsid w:val="0018444F"/>
    <w:rsid w:val="001A1648"/>
    <w:rsid w:val="001A5793"/>
    <w:rsid w:val="001A686B"/>
    <w:rsid w:val="001B2FA7"/>
    <w:rsid w:val="001E4DAD"/>
    <w:rsid w:val="001F0C87"/>
    <w:rsid w:val="0020152C"/>
    <w:rsid w:val="0021228A"/>
    <w:rsid w:val="002361F3"/>
    <w:rsid w:val="002430C1"/>
    <w:rsid w:val="0025467F"/>
    <w:rsid w:val="00255B23"/>
    <w:rsid w:val="00267341"/>
    <w:rsid w:val="00271F57"/>
    <w:rsid w:val="002736A7"/>
    <w:rsid w:val="00276B12"/>
    <w:rsid w:val="0027774E"/>
    <w:rsid w:val="00277F50"/>
    <w:rsid w:val="00281012"/>
    <w:rsid w:val="0028349C"/>
    <w:rsid w:val="002903BF"/>
    <w:rsid w:val="0029176C"/>
    <w:rsid w:val="00295285"/>
    <w:rsid w:val="002A168A"/>
    <w:rsid w:val="002B0EC9"/>
    <w:rsid w:val="002C3977"/>
    <w:rsid w:val="002C7175"/>
    <w:rsid w:val="002E46EA"/>
    <w:rsid w:val="002F377F"/>
    <w:rsid w:val="003002B2"/>
    <w:rsid w:val="00316D1A"/>
    <w:rsid w:val="003178FA"/>
    <w:rsid w:val="00326087"/>
    <w:rsid w:val="00340F2E"/>
    <w:rsid w:val="00386C7D"/>
    <w:rsid w:val="003879B3"/>
    <w:rsid w:val="003B5B24"/>
    <w:rsid w:val="003C7960"/>
    <w:rsid w:val="003D2FE8"/>
    <w:rsid w:val="003D7B49"/>
    <w:rsid w:val="003E0E75"/>
    <w:rsid w:val="003F07A2"/>
    <w:rsid w:val="003F4F96"/>
    <w:rsid w:val="00404D97"/>
    <w:rsid w:val="004140DA"/>
    <w:rsid w:val="00416C98"/>
    <w:rsid w:val="004172FF"/>
    <w:rsid w:val="0042588A"/>
    <w:rsid w:val="004365A3"/>
    <w:rsid w:val="004407A1"/>
    <w:rsid w:val="00460699"/>
    <w:rsid w:val="00477D60"/>
    <w:rsid w:val="0048394B"/>
    <w:rsid w:val="00486C45"/>
    <w:rsid w:val="004918BB"/>
    <w:rsid w:val="004B3869"/>
    <w:rsid w:val="004B58FB"/>
    <w:rsid w:val="004C028E"/>
    <w:rsid w:val="004F07A6"/>
    <w:rsid w:val="005013AE"/>
    <w:rsid w:val="00506FD9"/>
    <w:rsid w:val="005149FC"/>
    <w:rsid w:val="005210F3"/>
    <w:rsid w:val="00525D60"/>
    <w:rsid w:val="00531066"/>
    <w:rsid w:val="00533041"/>
    <w:rsid w:val="00546EC2"/>
    <w:rsid w:val="00547666"/>
    <w:rsid w:val="00552672"/>
    <w:rsid w:val="00555B15"/>
    <w:rsid w:val="00557942"/>
    <w:rsid w:val="00564C71"/>
    <w:rsid w:val="005C0E53"/>
    <w:rsid w:val="005F59A0"/>
    <w:rsid w:val="005F6C86"/>
    <w:rsid w:val="006242C2"/>
    <w:rsid w:val="00632ADA"/>
    <w:rsid w:val="00640369"/>
    <w:rsid w:val="006458C9"/>
    <w:rsid w:val="00652911"/>
    <w:rsid w:val="00654664"/>
    <w:rsid w:val="006622D6"/>
    <w:rsid w:val="00674683"/>
    <w:rsid w:val="0068159B"/>
    <w:rsid w:val="006829C0"/>
    <w:rsid w:val="006A15A5"/>
    <w:rsid w:val="006A6FE6"/>
    <w:rsid w:val="006B47BB"/>
    <w:rsid w:val="006B60C1"/>
    <w:rsid w:val="006B6536"/>
    <w:rsid w:val="006D5CA2"/>
    <w:rsid w:val="006F13A2"/>
    <w:rsid w:val="006F56CD"/>
    <w:rsid w:val="007124CC"/>
    <w:rsid w:val="0071272A"/>
    <w:rsid w:val="0071415A"/>
    <w:rsid w:val="00723F1F"/>
    <w:rsid w:val="0073073A"/>
    <w:rsid w:val="00732202"/>
    <w:rsid w:val="0074284F"/>
    <w:rsid w:val="0076658D"/>
    <w:rsid w:val="00773158"/>
    <w:rsid w:val="00780850"/>
    <w:rsid w:val="007A39A2"/>
    <w:rsid w:val="007A46E1"/>
    <w:rsid w:val="007B7106"/>
    <w:rsid w:val="007C2330"/>
    <w:rsid w:val="007C3660"/>
    <w:rsid w:val="007C37CB"/>
    <w:rsid w:val="007D2951"/>
    <w:rsid w:val="007E747F"/>
    <w:rsid w:val="007F384F"/>
    <w:rsid w:val="007F3F2F"/>
    <w:rsid w:val="00835E5F"/>
    <w:rsid w:val="00847A0B"/>
    <w:rsid w:val="00860589"/>
    <w:rsid w:val="008628BC"/>
    <w:rsid w:val="00877B36"/>
    <w:rsid w:val="00892171"/>
    <w:rsid w:val="008A66D4"/>
    <w:rsid w:val="008B21DD"/>
    <w:rsid w:val="008B4357"/>
    <w:rsid w:val="008D3FC9"/>
    <w:rsid w:val="008D77D6"/>
    <w:rsid w:val="009047BE"/>
    <w:rsid w:val="00910E07"/>
    <w:rsid w:val="009135AC"/>
    <w:rsid w:val="00913AB9"/>
    <w:rsid w:val="00914874"/>
    <w:rsid w:val="00927DE5"/>
    <w:rsid w:val="00935100"/>
    <w:rsid w:val="00935203"/>
    <w:rsid w:val="009478E7"/>
    <w:rsid w:val="00950743"/>
    <w:rsid w:val="0095474C"/>
    <w:rsid w:val="00957CE1"/>
    <w:rsid w:val="00962704"/>
    <w:rsid w:val="009675B8"/>
    <w:rsid w:val="009705FF"/>
    <w:rsid w:val="00987669"/>
    <w:rsid w:val="00987805"/>
    <w:rsid w:val="00996074"/>
    <w:rsid w:val="009961EE"/>
    <w:rsid w:val="009A5AD9"/>
    <w:rsid w:val="009B5BE6"/>
    <w:rsid w:val="009B79C2"/>
    <w:rsid w:val="009C058D"/>
    <w:rsid w:val="009C0ADF"/>
    <w:rsid w:val="009C343E"/>
    <w:rsid w:val="009C758B"/>
    <w:rsid w:val="009D650C"/>
    <w:rsid w:val="009D7C89"/>
    <w:rsid w:val="009E78DF"/>
    <w:rsid w:val="009F6F52"/>
    <w:rsid w:val="00A023D2"/>
    <w:rsid w:val="00A04F06"/>
    <w:rsid w:val="00A0677C"/>
    <w:rsid w:val="00A074F5"/>
    <w:rsid w:val="00A23CF4"/>
    <w:rsid w:val="00A24515"/>
    <w:rsid w:val="00A269FE"/>
    <w:rsid w:val="00A26E17"/>
    <w:rsid w:val="00A33648"/>
    <w:rsid w:val="00A57C61"/>
    <w:rsid w:val="00A60AA7"/>
    <w:rsid w:val="00A60DAB"/>
    <w:rsid w:val="00A62376"/>
    <w:rsid w:val="00A62D1D"/>
    <w:rsid w:val="00A74BB9"/>
    <w:rsid w:val="00A90D22"/>
    <w:rsid w:val="00AA16A3"/>
    <w:rsid w:val="00AA39BE"/>
    <w:rsid w:val="00AB40AA"/>
    <w:rsid w:val="00AB4B0A"/>
    <w:rsid w:val="00AC411F"/>
    <w:rsid w:val="00AD213D"/>
    <w:rsid w:val="00AD3373"/>
    <w:rsid w:val="00AD3FA0"/>
    <w:rsid w:val="00AD4070"/>
    <w:rsid w:val="00AE083F"/>
    <w:rsid w:val="00AE2C20"/>
    <w:rsid w:val="00AF42DD"/>
    <w:rsid w:val="00AF765B"/>
    <w:rsid w:val="00B05E45"/>
    <w:rsid w:val="00B12176"/>
    <w:rsid w:val="00B13261"/>
    <w:rsid w:val="00B151C1"/>
    <w:rsid w:val="00B17415"/>
    <w:rsid w:val="00B17E13"/>
    <w:rsid w:val="00B212BB"/>
    <w:rsid w:val="00B42A64"/>
    <w:rsid w:val="00B61563"/>
    <w:rsid w:val="00B63AA5"/>
    <w:rsid w:val="00B85941"/>
    <w:rsid w:val="00B91CB8"/>
    <w:rsid w:val="00B92772"/>
    <w:rsid w:val="00BB0685"/>
    <w:rsid w:val="00BB6357"/>
    <w:rsid w:val="00BB76D4"/>
    <w:rsid w:val="00BC6628"/>
    <w:rsid w:val="00BD184F"/>
    <w:rsid w:val="00BE0D8A"/>
    <w:rsid w:val="00BF4EF0"/>
    <w:rsid w:val="00C01EF9"/>
    <w:rsid w:val="00C03FF2"/>
    <w:rsid w:val="00C103AD"/>
    <w:rsid w:val="00C10EE4"/>
    <w:rsid w:val="00C16B6E"/>
    <w:rsid w:val="00C45494"/>
    <w:rsid w:val="00C52091"/>
    <w:rsid w:val="00C564C5"/>
    <w:rsid w:val="00C56DD6"/>
    <w:rsid w:val="00C613AD"/>
    <w:rsid w:val="00C658B2"/>
    <w:rsid w:val="00C820C8"/>
    <w:rsid w:val="00C97B9E"/>
    <w:rsid w:val="00CA0078"/>
    <w:rsid w:val="00CA22B2"/>
    <w:rsid w:val="00CB46F3"/>
    <w:rsid w:val="00CB7AFA"/>
    <w:rsid w:val="00CD7393"/>
    <w:rsid w:val="00CE1CAC"/>
    <w:rsid w:val="00CE2C82"/>
    <w:rsid w:val="00CE54B0"/>
    <w:rsid w:val="00CE584A"/>
    <w:rsid w:val="00CE6883"/>
    <w:rsid w:val="00D06754"/>
    <w:rsid w:val="00D11CA2"/>
    <w:rsid w:val="00D20591"/>
    <w:rsid w:val="00D2159A"/>
    <w:rsid w:val="00D24D34"/>
    <w:rsid w:val="00D33A9B"/>
    <w:rsid w:val="00D43554"/>
    <w:rsid w:val="00D44BED"/>
    <w:rsid w:val="00D457DF"/>
    <w:rsid w:val="00D50F28"/>
    <w:rsid w:val="00D541BE"/>
    <w:rsid w:val="00D562E9"/>
    <w:rsid w:val="00D567FF"/>
    <w:rsid w:val="00D60D13"/>
    <w:rsid w:val="00D61AD4"/>
    <w:rsid w:val="00D754E1"/>
    <w:rsid w:val="00D80BA2"/>
    <w:rsid w:val="00D84CB6"/>
    <w:rsid w:val="00DB5943"/>
    <w:rsid w:val="00DC79F3"/>
    <w:rsid w:val="00DE4542"/>
    <w:rsid w:val="00DF71E1"/>
    <w:rsid w:val="00E155E7"/>
    <w:rsid w:val="00E174C9"/>
    <w:rsid w:val="00E209A9"/>
    <w:rsid w:val="00E25895"/>
    <w:rsid w:val="00E25CF0"/>
    <w:rsid w:val="00E26495"/>
    <w:rsid w:val="00E34767"/>
    <w:rsid w:val="00E37113"/>
    <w:rsid w:val="00E45226"/>
    <w:rsid w:val="00E4743A"/>
    <w:rsid w:val="00E51BC7"/>
    <w:rsid w:val="00E527A7"/>
    <w:rsid w:val="00E551A5"/>
    <w:rsid w:val="00E5587F"/>
    <w:rsid w:val="00E66D4B"/>
    <w:rsid w:val="00E85F10"/>
    <w:rsid w:val="00E958DE"/>
    <w:rsid w:val="00E97BE9"/>
    <w:rsid w:val="00EA2CB8"/>
    <w:rsid w:val="00EB3AED"/>
    <w:rsid w:val="00EB5737"/>
    <w:rsid w:val="00EC189E"/>
    <w:rsid w:val="00EC24B4"/>
    <w:rsid w:val="00ED0A81"/>
    <w:rsid w:val="00ED4649"/>
    <w:rsid w:val="00EE0720"/>
    <w:rsid w:val="00EE0765"/>
    <w:rsid w:val="00F02B5B"/>
    <w:rsid w:val="00F04298"/>
    <w:rsid w:val="00F05A4F"/>
    <w:rsid w:val="00F36A17"/>
    <w:rsid w:val="00F40DC0"/>
    <w:rsid w:val="00F40E9F"/>
    <w:rsid w:val="00F45840"/>
    <w:rsid w:val="00F60CAB"/>
    <w:rsid w:val="00F71C69"/>
    <w:rsid w:val="00F73D60"/>
    <w:rsid w:val="00F9111B"/>
    <w:rsid w:val="00F9229C"/>
    <w:rsid w:val="00F96693"/>
    <w:rsid w:val="00FA0BA5"/>
    <w:rsid w:val="00FA4A9F"/>
    <w:rsid w:val="00FA7087"/>
    <w:rsid w:val="00FB48A3"/>
    <w:rsid w:val="00FB612F"/>
    <w:rsid w:val="00FC2A49"/>
    <w:rsid w:val="00FC7E99"/>
    <w:rsid w:val="00FD5046"/>
    <w:rsid w:val="00FE177B"/>
    <w:rsid w:val="00FE1EB3"/>
    <w:rsid w:val="00FE27F4"/>
    <w:rsid w:val="00FF70EB"/>
    <w:rsid w:val="00FF7DC3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7BE564-1F5E-4C8B-BFD0-C5D2110C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CE1"/>
    <w:rPr>
      <w:rFonts w:eastAsiaTheme="minorEastAsia"/>
      <w:lang w:val="sr-Latn-R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B5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CE1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4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54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64"/>
    <w:rPr>
      <w:rFonts w:eastAsiaTheme="minorEastAsia"/>
      <w:lang w:val="sr-Latn-RS" w:eastAsia="zh-CN"/>
    </w:rPr>
  </w:style>
  <w:style w:type="paragraph" w:styleId="Footer">
    <w:name w:val="footer"/>
    <w:basedOn w:val="Normal"/>
    <w:link w:val="FooterChar"/>
    <w:uiPriority w:val="99"/>
    <w:unhideWhenUsed/>
    <w:rsid w:val="00654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64"/>
    <w:rPr>
      <w:rFonts w:eastAsiaTheme="minorEastAsia"/>
      <w:lang w:val="sr-Latn-RS" w:eastAsia="zh-CN"/>
    </w:rPr>
  </w:style>
  <w:style w:type="character" w:styleId="Emphasis">
    <w:name w:val="Emphasis"/>
    <w:basedOn w:val="DefaultParagraphFont"/>
    <w:uiPriority w:val="20"/>
    <w:qFormat/>
    <w:rsid w:val="004C028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B594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B594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4F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R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8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91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3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9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93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1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1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6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3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6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112">
          <w:marLeft w:val="53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301">
          <w:marLeft w:val="53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211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2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52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26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44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04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61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0133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08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4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8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6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43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5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1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0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0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0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46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9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3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6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47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22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2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42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2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1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1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51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6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4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8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7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6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7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3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5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1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1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CB2E7-A612-432E-9E48-C707E0E8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Nenadović</dc:creator>
  <cp:keywords/>
  <dc:description/>
  <cp:lastModifiedBy>Nikola Pavić</cp:lastModifiedBy>
  <cp:revision>2</cp:revision>
  <dcterms:created xsi:type="dcterms:W3CDTF">2025-05-22T10:10:00Z</dcterms:created>
  <dcterms:modified xsi:type="dcterms:W3CDTF">2025-05-22T10:10:00Z</dcterms:modified>
</cp:coreProperties>
</file>